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C7" w:rsidRPr="009F0FA8" w:rsidRDefault="00AC52C7" w:rsidP="009F0FA8">
      <w:pPr>
        <w:pStyle w:val="ConsPlusTitlePage"/>
        <w:jc w:val="right"/>
        <w:rPr>
          <w:rFonts w:ascii="Times New Roman" w:hAnsi="Times New Roman" w:cs="Times New Roman"/>
          <w:sz w:val="26"/>
          <w:szCs w:val="26"/>
        </w:rPr>
      </w:pPr>
    </w:p>
    <w:p w:rsidR="00AC52C7" w:rsidRPr="0036081F" w:rsidRDefault="00AC52C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C52C7" w:rsidRPr="009F0FA8" w:rsidRDefault="00AC52C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ПРАВИТЕЛЬСТВО РЕСПУБЛИКИ ТЫВА</w:t>
      </w:r>
    </w:p>
    <w:p w:rsidR="00AC52C7" w:rsidRPr="009F0FA8" w:rsidRDefault="00AC52C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C52C7" w:rsidRPr="009F0FA8" w:rsidRDefault="00AC52C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C52C7" w:rsidRPr="009F0FA8" w:rsidRDefault="00DD513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от «__» ______</w:t>
      </w:r>
      <w:r w:rsidR="00AC52C7" w:rsidRPr="009F0FA8">
        <w:rPr>
          <w:rFonts w:ascii="Times New Roman" w:hAnsi="Times New Roman" w:cs="Times New Roman"/>
          <w:sz w:val="26"/>
          <w:szCs w:val="26"/>
        </w:rPr>
        <w:t xml:space="preserve"> 201</w:t>
      </w:r>
      <w:r w:rsidRPr="009F0FA8">
        <w:rPr>
          <w:rFonts w:ascii="Times New Roman" w:hAnsi="Times New Roman" w:cs="Times New Roman"/>
          <w:sz w:val="26"/>
          <w:szCs w:val="26"/>
        </w:rPr>
        <w:t>6</w:t>
      </w:r>
      <w:r w:rsidR="00AC52C7" w:rsidRPr="009F0FA8">
        <w:rPr>
          <w:rFonts w:ascii="Times New Roman" w:hAnsi="Times New Roman" w:cs="Times New Roman"/>
          <w:sz w:val="26"/>
          <w:szCs w:val="26"/>
        </w:rPr>
        <w:t xml:space="preserve"> г. N </w:t>
      </w:r>
      <w:r w:rsidRPr="009F0FA8">
        <w:rPr>
          <w:rFonts w:ascii="Times New Roman" w:hAnsi="Times New Roman" w:cs="Times New Roman"/>
          <w:sz w:val="26"/>
          <w:szCs w:val="26"/>
        </w:rPr>
        <w:t>___</w:t>
      </w:r>
    </w:p>
    <w:p w:rsidR="00AC52C7" w:rsidRPr="009F0FA8" w:rsidRDefault="00AC52C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AC52C7" w:rsidRDefault="00161EE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проектной документации</w:t>
      </w:r>
    </w:p>
    <w:p w:rsidR="00161EE4" w:rsidRDefault="00161EE4" w:rsidP="00161EE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объекта «</w:t>
      </w:r>
      <w:r w:rsidR="00DD5134" w:rsidRPr="009F0FA8">
        <w:rPr>
          <w:rFonts w:ascii="Times New Roman" w:hAnsi="Times New Roman" w:cs="Times New Roman"/>
          <w:sz w:val="26"/>
          <w:szCs w:val="26"/>
        </w:rPr>
        <w:t xml:space="preserve">Инфраструктура индустриального </w:t>
      </w:r>
    </w:p>
    <w:p w:rsidR="00AC52C7" w:rsidRPr="009F0FA8" w:rsidRDefault="00DD5134" w:rsidP="00161EE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парка г. Кызыла Республики Тыва</w:t>
      </w:r>
      <w:r w:rsidR="00814167">
        <w:rPr>
          <w:rFonts w:ascii="Times New Roman" w:hAnsi="Times New Roman" w:cs="Times New Roman"/>
          <w:sz w:val="26"/>
          <w:szCs w:val="26"/>
        </w:rPr>
        <w:t>»</w:t>
      </w:r>
    </w:p>
    <w:p w:rsidR="00AC52C7" w:rsidRPr="009F0FA8" w:rsidRDefault="00AC52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C52C7" w:rsidRDefault="00AC52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9F0FA8">
          <w:rPr>
            <w:rFonts w:ascii="Times New Roman" w:hAnsi="Times New Roman" w:cs="Times New Roman"/>
            <w:sz w:val="26"/>
            <w:szCs w:val="26"/>
          </w:rPr>
          <w:t>статьей 48</w:t>
        </w:r>
      </w:hyperlink>
      <w:r w:rsidRPr="009F0FA8">
        <w:rPr>
          <w:rFonts w:ascii="Times New Roman" w:hAnsi="Times New Roman" w:cs="Times New Roman"/>
          <w:sz w:val="26"/>
          <w:szCs w:val="26"/>
        </w:rPr>
        <w:t xml:space="preserve"> Градостроительного кодекса Российской Федерации Правительс</w:t>
      </w:r>
      <w:r w:rsidR="001E05DD">
        <w:rPr>
          <w:rFonts w:ascii="Times New Roman" w:hAnsi="Times New Roman" w:cs="Times New Roman"/>
          <w:sz w:val="26"/>
          <w:szCs w:val="26"/>
        </w:rPr>
        <w:t>тво Республики Тыва ПОСТАНОВЛЯЕТ</w:t>
      </w:r>
      <w:r w:rsidRPr="009F0FA8">
        <w:rPr>
          <w:rFonts w:ascii="Times New Roman" w:hAnsi="Times New Roman" w:cs="Times New Roman"/>
          <w:sz w:val="26"/>
          <w:szCs w:val="26"/>
        </w:rPr>
        <w:t>:</w:t>
      </w:r>
    </w:p>
    <w:p w:rsidR="001E05DD" w:rsidRPr="009F0FA8" w:rsidRDefault="001E05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52C7" w:rsidRPr="009F0FA8" w:rsidRDefault="00AC52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Утвердить проектную документацию объекта</w:t>
      </w:r>
      <w:r w:rsidR="007D437A" w:rsidRPr="009F0FA8">
        <w:rPr>
          <w:rFonts w:ascii="Times New Roman" w:hAnsi="Times New Roman" w:cs="Times New Roman"/>
          <w:sz w:val="26"/>
          <w:szCs w:val="26"/>
        </w:rPr>
        <w:t xml:space="preserve"> капитального строительства</w:t>
      </w:r>
      <w:r w:rsidRPr="009F0FA8">
        <w:rPr>
          <w:rFonts w:ascii="Times New Roman" w:hAnsi="Times New Roman" w:cs="Times New Roman"/>
          <w:sz w:val="26"/>
          <w:szCs w:val="26"/>
        </w:rPr>
        <w:t xml:space="preserve"> "</w:t>
      </w:r>
      <w:r w:rsidR="007D437A" w:rsidRPr="009F0FA8">
        <w:rPr>
          <w:rFonts w:ascii="Times New Roman" w:hAnsi="Times New Roman" w:cs="Times New Roman"/>
          <w:sz w:val="26"/>
          <w:szCs w:val="26"/>
        </w:rPr>
        <w:t>Инфраструктура индустриального парка</w:t>
      </w:r>
      <w:r w:rsidRPr="009F0FA8">
        <w:rPr>
          <w:rFonts w:ascii="Times New Roman" w:hAnsi="Times New Roman" w:cs="Times New Roman"/>
          <w:sz w:val="26"/>
          <w:szCs w:val="26"/>
        </w:rPr>
        <w:t xml:space="preserve"> г. Кызыл</w:t>
      </w:r>
      <w:r w:rsidR="007D437A" w:rsidRPr="009F0FA8">
        <w:rPr>
          <w:rFonts w:ascii="Times New Roman" w:hAnsi="Times New Roman" w:cs="Times New Roman"/>
          <w:sz w:val="26"/>
          <w:szCs w:val="26"/>
        </w:rPr>
        <w:t>а</w:t>
      </w:r>
      <w:r w:rsidRPr="009F0FA8">
        <w:rPr>
          <w:rFonts w:ascii="Times New Roman" w:hAnsi="Times New Roman" w:cs="Times New Roman"/>
          <w:sz w:val="26"/>
          <w:szCs w:val="26"/>
        </w:rPr>
        <w:t xml:space="preserve"> Республики Тыва", разработанную ООО "</w:t>
      </w:r>
      <w:r w:rsidR="007D437A" w:rsidRPr="009F0FA8">
        <w:rPr>
          <w:rFonts w:ascii="Times New Roman" w:hAnsi="Times New Roman" w:cs="Times New Roman"/>
          <w:sz w:val="26"/>
          <w:szCs w:val="26"/>
        </w:rPr>
        <w:t>Авангард»</w:t>
      </w:r>
      <w:r w:rsidRPr="009F0FA8">
        <w:rPr>
          <w:rFonts w:ascii="Times New Roman" w:hAnsi="Times New Roman" w:cs="Times New Roman"/>
          <w:sz w:val="26"/>
          <w:szCs w:val="26"/>
        </w:rPr>
        <w:t xml:space="preserve">" (г. </w:t>
      </w:r>
      <w:r w:rsidR="007D437A" w:rsidRPr="009F0FA8">
        <w:rPr>
          <w:rFonts w:ascii="Times New Roman" w:hAnsi="Times New Roman" w:cs="Times New Roman"/>
          <w:sz w:val="26"/>
          <w:szCs w:val="26"/>
        </w:rPr>
        <w:t>Абакан</w:t>
      </w:r>
      <w:r w:rsidR="00DD5134" w:rsidRPr="009F0FA8">
        <w:rPr>
          <w:rFonts w:ascii="Times New Roman" w:hAnsi="Times New Roman" w:cs="Times New Roman"/>
          <w:sz w:val="26"/>
          <w:szCs w:val="26"/>
        </w:rPr>
        <w:t>), в текущих ценах I</w:t>
      </w:r>
      <w:r w:rsidR="00DD5134" w:rsidRPr="009F0FA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9F0FA8">
        <w:rPr>
          <w:rFonts w:ascii="Times New Roman" w:hAnsi="Times New Roman" w:cs="Times New Roman"/>
          <w:sz w:val="26"/>
          <w:szCs w:val="26"/>
        </w:rPr>
        <w:t xml:space="preserve"> квартала 201</w:t>
      </w:r>
      <w:r w:rsidR="007D437A" w:rsidRPr="009F0FA8">
        <w:rPr>
          <w:rFonts w:ascii="Times New Roman" w:hAnsi="Times New Roman" w:cs="Times New Roman"/>
          <w:sz w:val="26"/>
          <w:szCs w:val="26"/>
        </w:rPr>
        <w:t>6</w:t>
      </w:r>
      <w:r w:rsidRPr="009F0FA8">
        <w:rPr>
          <w:rFonts w:ascii="Times New Roman" w:hAnsi="Times New Roman" w:cs="Times New Roman"/>
          <w:sz w:val="26"/>
          <w:szCs w:val="26"/>
        </w:rPr>
        <w:t xml:space="preserve"> г. с налогом на добавленную стоимость 18 процентов и технико-экономическими показателями:</w:t>
      </w:r>
    </w:p>
    <w:p w:rsidR="00AC52C7" w:rsidRPr="009F0FA8" w:rsidRDefault="00AC52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660" w:type="dxa"/>
        <w:tblInd w:w="93" w:type="dxa"/>
        <w:tblLook w:val="04A0"/>
      </w:tblPr>
      <w:tblGrid>
        <w:gridCol w:w="4520"/>
        <w:gridCol w:w="1800"/>
        <w:gridCol w:w="2340"/>
      </w:tblGrid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447" w:rsidRPr="001E05DD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E05D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Наименование показателей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1E05DD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E05D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1E05DD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E05D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Показатели по проекту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ид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новое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ощность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12447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кВт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1580,15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12447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водоснабжение и водоотведение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м.куб</w:t>
            </w:r>
            <w:r w:rsidR="00DD5134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/в сутки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500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12447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теплоснабжение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Гкал/час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9,1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12447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МВт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10,5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лощадь земельного участка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м.кв.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300972</w:t>
            </w:r>
          </w:p>
        </w:tc>
      </w:tr>
      <w:tr w:rsidR="00112447" w:rsidRPr="009F0FA8" w:rsidTr="00112447">
        <w:trPr>
          <w:trHeight w:val="6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лощадь земельного участка в границах проектирования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м.кв.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44632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лощадь индустриального парка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м.кв.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169365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лощадь застройки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м.кв.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958,2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61EE4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bookmarkStart w:id="0" w:name="_GoBack"/>
            <w:bookmarkEnd w:id="0"/>
            <w:r w:rsidR="00112447"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родолжительность строительства,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112447" w:rsidRPr="009F0FA8" w:rsidTr="00112447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2447" w:rsidRPr="009F0FA8" w:rsidRDefault="00112447" w:rsidP="0011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том числе подготовительный период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447" w:rsidRPr="009F0FA8" w:rsidRDefault="00112447" w:rsidP="0011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</w:tbl>
    <w:p w:rsidR="00112447" w:rsidRPr="009F0FA8" w:rsidRDefault="001124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52C7" w:rsidRPr="009F0FA8" w:rsidRDefault="00AC52C7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сметная стоимость, всего          </w:t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 xml:space="preserve"> - </w:t>
      </w:r>
      <w:r w:rsidR="00DD5134" w:rsidRPr="009F0FA8">
        <w:rPr>
          <w:rFonts w:ascii="Times New Roman" w:hAnsi="Times New Roman" w:cs="Times New Roman"/>
          <w:sz w:val="26"/>
          <w:szCs w:val="26"/>
        </w:rPr>
        <w:t>229469,48</w:t>
      </w:r>
      <w:r w:rsidRPr="009F0FA8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C52C7" w:rsidRPr="009F0FA8" w:rsidRDefault="00AC52C7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    в том числе:</w:t>
      </w:r>
    </w:p>
    <w:p w:rsidR="00AC52C7" w:rsidRPr="009F0FA8" w:rsidRDefault="00AC52C7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строительно-мо</w:t>
      </w:r>
      <w:r w:rsidR="00DD5134" w:rsidRPr="009F0FA8">
        <w:rPr>
          <w:rFonts w:ascii="Times New Roman" w:hAnsi="Times New Roman" w:cs="Times New Roman"/>
          <w:sz w:val="26"/>
          <w:szCs w:val="26"/>
        </w:rPr>
        <w:t xml:space="preserve">нтажные работы      </w:t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  <w:t xml:space="preserve"> - 91905,72</w:t>
      </w:r>
      <w:r w:rsidRPr="009F0FA8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AC52C7" w:rsidRPr="009F0FA8" w:rsidRDefault="00AC52C7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оборудование  </w:t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  <w:t xml:space="preserve"> -  99102,83</w:t>
      </w:r>
      <w:r w:rsidRPr="009F0FA8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DD5134" w:rsidRPr="009F0FA8" w:rsidRDefault="00AC52C7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прочие работы </w:t>
      </w:r>
      <w:r w:rsidR="00DD5134" w:rsidRPr="009F0FA8">
        <w:rPr>
          <w:rFonts w:ascii="Times New Roman" w:hAnsi="Times New Roman" w:cs="Times New Roman"/>
          <w:sz w:val="26"/>
          <w:szCs w:val="26"/>
        </w:rPr>
        <w:t xml:space="preserve">и затраты           </w:t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ab/>
        <w:t xml:space="preserve"> -  38460,93</w:t>
      </w:r>
      <w:r w:rsidRPr="009F0FA8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DD5134" w:rsidRPr="009F0FA8" w:rsidRDefault="00DD513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 xml:space="preserve">    ПИР(в т.ч.)</w:t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</w:r>
      <w:r w:rsidRPr="009F0FA8">
        <w:rPr>
          <w:rFonts w:ascii="Times New Roman" w:hAnsi="Times New Roman" w:cs="Times New Roman"/>
          <w:sz w:val="26"/>
          <w:szCs w:val="26"/>
        </w:rPr>
        <w:tab/>
        <w:t xml:space="preserve"> -  2790,00 тыс. рублей;</w:t>
      </w:r>
    </w:p>
    <w:p w:rsidR="00AC52C7" w:rsidRPr="009F0FA8" w:rsidRDefault="009F0FA8">
      <w:pPr>
        <w:pStyle w:val="ConsPlusCel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НДС 18% (в т.ч.)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D5134" w:rsidRPr="009F0FA8">
        <w:rPr>
          <w:rFonts w:ascii="Times New Roman" w:hAnsi="Times New Roman" w:cs="Times New Roman"/>
          <w:sz w:val="26"/>
          <w:szCs w:val="26"/>
        </w:rPr>
        <w:t xml:space="preserve"> -  34569,71 тыс. рублей</w:t>
      </w:r>
      <w:r w:rsidR="00AC52C7" w:rsidRPr="009F0FA8">
        <w:rPr>
          <w:rFonts w:ascii="Times New Roman" w:hAnsi="Times New Roman" w:cs="Times New Roman"/>
          <w:sz w:val="26"/>
          <w:szCs w:val="26"/>
        </w:rPr>
        <w:t>.</w:t>
      </w:r>
    </w:p>
    <w:p w:rsidR="00DD5134" w:rsidRPr="009F0FA8" w:rsidRDefault="00DD5134" w:rsidP="00E736F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F0FA8" w:rsidRDefault="009F0F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F0FA8" w:rsidRPr="009F0FA8" w:rsidRDefault="009F0FA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C52C7" w:rsidRPr="009F0FA8" w:rsidRDefault="00AC52C7" w:rsidP="009F0FA8">
      <w:pPr>
        <w:pStyle w:val="ConsPlusNormal"/>
        <w:tabs>
          <w:tab w:val="left" w:pos="6982"/>
        </w:tabs>
        <w:rPr>
          <w:rFonts w:ascii="Times New Roman" w:hAnsi="Times New Roman" w:cs="Times New Roman"/>
          <w:sz w:val="26"/>
          <w:szCs w:val="26"/>
        </w:rPr>
      </w:pPr>
      <w:r w:rsidRPr="009F0FA8">
        <w:rPr>
          <w:rFonts w:ascii="Times New Roman" w:hAnsi="Times New Roman" w:cs="Times New Roman"/>
          <w:sz w:val="26"/>
          <w:szCs w:val="26"/>
        </w:rPr>
        <w:t>Гл</w:t>
      </w:r>
      <w:r w:rsidR="009F0FA8">
        <w:rPr>
          <w:rFonts w:ascii="Times New Roman" w:hAnsi="Times New Roman" w:cs="Times New Roman"/>
          <w:sz w:val="26"/>
          <w:szCs w:val="26"/>
        </w:rPr>
        <w:t xml:space="preserve">ава </w:t>
      </w:r>
      <w:r w:rsidRPr="009F0FA8">
        <w:rPr>
          <w:rFonts w:ascii="Times New Roman" w:hAnsi="Times New Roman" w:cs="Times New Roman"/>
          <w:sz w:val="26"/>
          <w:szCs w:val="26"/>
        </w:rPr>
        <w:t>Республики Тыва</w:t>
      </w:r>
      <w:r w:rsidR="009F0FA8">
        <w:rPr>
          <w:rFonts w:ascii="Times New Roman" w:hAnsi="Times New Roman" w:cs="Times New Roman"/>
          <w:sz w:val="26"/>
          <w:szCs w:val="26"/>
        </w:rPr>
        <w:tab/>
        <w:t>Ш. Кара-оол</w:t>
      </w:r>
    </w:p>
    <w:p w:rsidR="00FA2098" w:rsidRDefault="00FA2098" w:rsidP="009F0FA8">
      <w:pPr>
        <w:tabs>
          <w:tab w:val="center" w:pos="5373"/>
        </w:tabs>
        <w:spacing w:after="0" w:line="240" w:lineRule="auto"/>
        <w:ind w:right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0FA8" w:rsidRPr="0036081F" w:rsidRDefault="009F0FA8" w:rsidP="009F0FA8">
      <w:pPr>
        <w:tabs>
          <w:tab w:val="center" w:pos="5373"/>
        </w:tabs>
        <w:spacing w:after="0" w:line="240" w:lineRule="auto"/>
        <w:ind w:right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098" w:rsidRPr="009F0FA8" w:rsidRDefault="00FA2098" w:rsidP="00FA2098">
      <w:pPr>
        <w:tabs>
          <w:tab w:val="left" w:pos="60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0F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ТЕХНИЧЕСКОЕ ЗАДАНИЕ </w:t>
      </w:r>
    </w:p>
    <w:p w:rsidR="00FA2098" w:rsidRPr="009F0FA8" w:rsidRDefault="00FA2098" w:rsidP="00FA2098">
      <w:pPr>
        <w:tabs>
          <w:tab w:val="left" w:pos="600"/>
          <w:tab w:val="left" w:pos="72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828"/>
        <w:gridCol w:w="3354"/>
        <w:gridCol w:w="6"/>
        <w:gridCol w:w="5276"/>
        <w:gridCol w:w="142"/>
      </w:tblGrid>
      <w:tr w:rsidR="00FA2098" w:rsidRPr="009F0FA8" w:rsidTr="0036081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  <w:t>№№ п. п.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Перечень данных</w:t>
            </w:r>
          </w:p>
        </w:tc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Содержание данных и требования</w:t>
            </w:r>
          </w:p>
        </w:tc>
      </w:tr>
      <w:tr w:rsidR="00FA2098" w:rsidRPr="009F0FA8" w:rsidTr="0036081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  <w:t>1. ОБЩИЕ ДАННЫЕ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Основание для проектирования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ar-SA"/>
              </w:rPr>
              <w:t>Договор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Заказчик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«Агентство по привлечению и защите инвестиций РТ»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Источник финансирования 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Собственные средства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Проектная организация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Определяется по результатам конкурса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1.5.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Генеральная подрядная строительная организация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Определяется по результатам конкурса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1.6.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Индустриальный парк г. Кызыла Республики Тыва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1.7.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Местоположение, характер землепользования, площадь участка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/>
              </w:rPr>
              <w:t>Республика Тыва, г. Кызыл, с западной стороны дома по ул. Калинина, дом 27/1. Земли населенных пунктов. Площадь территории 300972+/- 192 кв.м.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1.8.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Сведения об участке и планировочных ограничениях, особые геологические и гидрогеологические условия строительства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Отсутствуют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1.9.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Вид строительства (новое, реконструкция)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Новое строительство зданий 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1.9.1.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Требования к проектной документации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1. Состав разделов проектной документации и их содержание должны соответствовать: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- Постановлению Правительства Российской Федерации от 16 февраля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9F0FA8">
                <w:rPr>
                  <w:rFonts w:ascii="Times New Roman" w:eastAsia="Times New Roman CYR" w:hAnsi="Times New Roman" w:cs="Times New Roman"/>
                  <w:sz w:val="26"/>
                  <w:szCs w:val="26"/>
                  <w:lang w:eastAsia="ru-RU"/>
                </w:rPr>
                <w:t>2008 г</w:t>
              </w:r>
            </w:smartTag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. № 87 «О составе разделов проектной документации и требованиях к их содержанию»;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- Постановлению Правительства Российской Федерации от 5 марта 2007 № 145 «О порядке организации и проведения государственной экспертизы проектной документации и результатов инженерных изысканий». 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Предусмотреть сметой расходы на проведение авторского надзора в процессе выполнения работ по строительству.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3. Сметную документацию разработать в соответствии с действующим ценообразованием, действующими методическими указаниями в ценах </w:t>
            </w: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  <w:t xml:space="preserve">соответствующих планируемому периоду строительства с использованием программного обеспечения Гранд-СМЕТА, а также в формате </w:t>
            </w: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val="en-US" w:eastAsia="ru-RU"/>
              </w:rPr>
              <w:t>Excel</w:t>
            </w: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Проект выполнить с разработкой мероприятий, предусмотренных техническими регламентами (нормами) проектирования в сейсмических районах.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1.9.2.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Стадийность проектирования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одну стадию – Проектная документация в объеме, необходимом для получения разрешения на строительство.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Эскизный проект согласовать с заказчиком.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1.9.3.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Требования к сносу, выносу, переносу зданий, сооружений, сетей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Отсутствуют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1.9.4.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Срок начала и окончания  проектирования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 момента заключения договора 30 (тридцать) дней.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1.9.5.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Количество выдаваемой проектной документации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3 (три) экземпляра на бумажном носителе,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1 (один) экземпляр в электронном виде, в формате согласованном с Заказчиком. Чертежи для размещения заказов предоставляются в формате 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val="en-US" w:eastAsia="ru-RU"/>
              </w:rPr>
              <w:t>pdf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. или ином удобном для Заказчика формате.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  <w:t>2. ОСНОВНЫЕ ТРЕБОВАНИЯ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  <w:t>2.1. ЗДАНИЕ КОТЕЛЬНОЙ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  <w:t>2.1.1 Архитектурные решения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2.1.1.1.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Тип зданий и сооружений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Котельная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2.1.1.2.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Этажность и высота по градостроительному регламенту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Здание одноэтажное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2.1.1.3.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Основные параметры генерального плана: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Генеральный план выполнить в границах отведенного земельного участка 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требования к благоустройству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благоустройства территории выполнить в соответствии с 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СП 42-13330.2011 «Градостроительство. Планировка и застройка городских и сельских поселений».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Ограждение котельной предусмотреть металлическим забором из профилированного листа с полимерным покрытием высотой 2,0м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  <w:t>2.1.2. Основные параметры зданий и сооружений: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2.1.2.1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Площадь застройки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застройки определить проектом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 xml:space="preserve">Параметры основных </w:t>
            </w:r>
            <w:r w:rsidRPr="009F0F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площадей здания котельной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Общая площадь здания – определить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>проектом.</w:t>
            </w:r>
          </w:p>
          <w:p w:rsidR="00FA2098" w:rsidRPr="009F0FA8" w:rsidRDefault="00FA2098" w:rsidP="00C02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Предусмотреть набор помещений: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котельный зал;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насосная;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бытовая комната;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электрощитовая;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гардеробная;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душевая;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санузел;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тамбур.</w:t>
            </w:r>
          </w:p>
          <w:p w:rsidR="00FA2098" w:rsidRPr="009F0FA8" w:rsidRDefault="00FA2098" w:rsidP="00C02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строительства определить согласно сводного сметного расчета.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Материалы, наружная и внутренняя отделка: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2.1.2.3.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Наружная отделка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(указать материал)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котельной предусмотреть из стеновых и кровельных сэндвич-панелей по металлическому каркасу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2.1.2.4.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Внутренняя отделка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(указать материал)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Потолок - улучшенная окраска влагостойкими водоэмульсионными составами светлых тонов по стекломагниевым листам (СМЛ) 1220х2440х6мм - для помещений душевой, санузла и тамбура;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Стены – 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1) улучшенная окраска каркасно-обшивных перегородок влагостойкими водоэмульсионными акрилатным составами светлых тонов по стекломагниевым листам (СМЛ) 1220х2440х10мм - для помещений бытовой комнаты и гардеробной; 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2) облицовка глазурованной керамической плиткой по стекломагниевым листам (СМЛ) 1220х2440х10 мм - для помещений душевой санузла и душевой; 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облицовка стеновыми профлистами С-10х1100-А,В с лицевым полимерным покрытием - для помещений котельного зала, насосной, электрощитовой, тамбура;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Полы –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 покрытие из бетона, кл. В15, t = 30 мм - для помещения котельного зала, насосной, электрощитовой;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керамическая плитка на клею, t = 9...13 мм - для помещений душевой и санузла;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4) линолеум ПВХ 32 кл., t = 4 мм - для помещений бытовой комнаты, гардеробной и тамбура; </w:t>
            </w:r>
          </w:p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Элементы несущих и фахверковых металлоконструкций подвергнуть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огнезащитной окраске составом ОГРАКС В-СК-1 (минимальная толщина покрытия - 0,8 мм, цвет - серый).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Применяемые материалы и конструкции должны соответствовать требованиям ст. 134 Федерального закона от 22.07.2008 №123-ФЗ «Технический регламент о требованиях пожарной безопасности»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2.1.2.5.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Стилевые особенности, требования к наружной рекламе и отделке, цветовому решению фасадов наружному освещению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Определить проектом в соответствии с архитектурно-планировочными решениями и согласованию с Заказчиком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2.1.3 Конструктивные решения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2.1.3.1.</w:t>
            </w: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Основные требования к конструктивным решениям и материалам несущих и ограждающих конструкций, в том числе: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фундаменты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Фундаменты - столбчатые монолитные железобетонные. Конструктивные решения определить проектом на основании инженерно-геологических изысканий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стены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Наружные стены котельной из легких навесных сэнвич-панелей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кровля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Кровля котельной скатная из легких навесных сэндвич-панелей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2.1.4. Технологические решения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2.1.4.1.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Тип оборудования: (отечественного или импортного производства)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Определить проектом по согласованию с заказчиком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2.2 ОБЪЕКТЫ ИНЖЕНЕРНОЙ И ТРАНСПОРТНОЙ ИНФРАСТРУКТУРЫ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  <w:t>Инженерное обеспечение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2.2.1.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Электроснабжение и электроосвещение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Выполнить проект воздушной линии электропередач мощностью 10 кВ, протяженностью 1,45км. Предусмотреть установку трансформаторной подстанции.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Выполнить проект воздушной линии электропередач мощностью 0,4 кВ, протяженностью 3км. Предусмотреть установку трансформаторной подстанции.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Установленную мощность электропотребления котельной определить расчетом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2.2.2.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Теплоснабжение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 xml:space="preserve">Теплоснабжение предусмотреть от проектируемой котельной на твердом топливе мощностью 9 МВт. Марку и производительность котла определить 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lastRenderedPageBreak/>
              <w:t>проектом. Предусмотреть сети теплоснабжения диаметром 100мм, протяженностью 1,2км.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>Проектировать в соответствии с требованиями: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 xml:space="preserve">- СП 124.13330.2012 «Тепловые сети»;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>- СП 61.13330.2012 «Тепловая изоляция оборудования и трубопроводов».</w:t>
            </w:r>
          </w:p>
        </w:tc>
      </w:tr>
      <w:tr w:rsidR="00FA2098" w:rsidRPr="009F0FA8" w:rsidTr="0036081F">
        <w:trPr>
          <w:gridAfter w:val="1"/>
          <w:wAfter w:w="142" w:type="dxa"/>
        </w:trPr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lastRenderedPageBreak/>
              <w:t>2.2.3.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12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>Водоснабжение</w:t>
            </w:r>
          </w:p>
        </w:tc>
        <w:tc>
          <w:tcPr>
            <w:tcW w:w="5282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Выполнить проект водозаборного сооружения.</w:t>
            </w:r>
          </w:p>
          <w:p w:rsidR="00FA2098" w:rsidRPr="009F0FA8" w:rsidRDefault="00FA2098" w:rsidP="00C029CA">
            <w:pPr>
              <w:keepNext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Учесть проектом устройство глубинной основной и резервной скважин дебетом 500м3/сут. для водоснабжения. Предусмотреть санитарно-защитную зону скважин согласно СанПиН 2.2.1/2.1.1.1200-03 «Санитарно-защитные зоны и санитарная классификация  предприятий, сооружений и иных объектов».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Ограждение скважин предусмотреть металлическим забором из профилированного листа с полимерным покрытием высотой 2,0м.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Выполнить проект сети водоснабжения диметром 100мм протяженностью 1,08км с установкой запорной арматуры, ответвительных колодцев и пожарных гидрантов в соответствии с генеральным планом.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При проектировании учитывать требования СП 31.13330.2012 «Водоснабжение. наружные сети и сооружения»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2.2.4.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Канализация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ar-SA"/>
              </w:rPr>
              <w:t>Выполнить проект канализационной насосной станции производительностью 50 м3/ч. Учесть проектом самотечные и напорные коллекторы диаметром 160мм, общей протяженностью 2,16км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2.2.5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Ливневая канализация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Предусмотреть в соответствии с вертикальной планировкой самотечные ливневые коллекторы диаметром 160мм, протяженностью 1,3км со сбросом в самотечные канализационные коллекторы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2.2.6.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Дороги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autoSpaceDE w:val="0"/>
              <w:autoSpaceDN w:val="0"/>
              <w:adjustRightInd w:val="0"/>
              <w:spacing w:after="0" w:line="240" w:lineRule="auto"/>
              <w:ind w:right="42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Предусмотреть согласно генерального плана строительство внутренних дорог 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val="en-US" w:eastAsia="ru-RU"/>
              </w:rPr>
              <w:t>IV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 категории, протяженностью 1,2км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2.2.7.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Разработать раздел в соответствии с законами Российской Федерации: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от 10.01.2002 № 7-ФЗ «Об охране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окружающей среды»;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от 04.05.1999 № 96-ФЗ «Об охране атмосферного воздуха»;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от 23.11.1995 № 174-ФЗ. «Об экологической экспертизе»;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от 30.03.1999 № 52-ФЗ «О санитарно- эпидемиологическом благополучии населения» и требованиями СанПиН 2.2.1/2.1.1.1200-03 «Санитарно-защитные зоны и санитарная классификация предприятий, сооружений и иных объектов»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2.2.8.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Защита от шума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соответствии с действующими нормами СП 51.13330.2011 «Защита от шума»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2.2.9.</w:t>
            </w:r>
          </w:p>
        </w:tc>
        <w:tc>
          <w:tcPr>
            <w:tcW w:w="3354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5424" w:type="dxa"/>
            <w:gridSpan w:val="3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Разработку комплекса инженерно-технических мероприятий, обеспечивающих предупреждение и ликвидацию чрезвычайных ситуаций выполнить в соответствии с техническими условиями, выданными МЧС региона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2.3. </w:t>
            </w:r>
            <w:r w:rsidRPr="009F0FA8"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  <w:t>Энергосберегающие мероприятия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2.3.1.</w:t>
            </w:r>
          </w:p>
        </w:tc>
        <w:tc>
          <w:tcPr>
            <w:tcW w:w="3360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Тип решения ограждающих конструкций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 xml:space="preserve">В соответствии с требованиями: 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СП 50.13330.2012 «Тепловая защита здания».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2.3.2.</w:t>
            </w:r>
          </w:p>
        </w:tc>
        <w:tc>
          <w:tcPr>
            <w:tcW w:w="3360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Мероприятия по установке приборов учета и контроля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Выполнить в соответствии с действующими нормами и требованиями эксплуатирующих организаций.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Предусмотреть проектом: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регулирование и контроль в теплоопределяющих системах здания;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- приборы измерения электропотребления.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2.4. </w:t>
            </w:r>
            <w:r w:rsidRPr="009F0FA8">
              <w:rPr>
                <w:rFonts w:ascii="Times New Roman" w:eastAsia="Times New Roman CYR" w:hAnsi="Times New Roman" w:cs="Times New Roman"/>
                <w:b/>
                <w:sz w:val="26"/>
                <w:szCs w:val="26"/>
                <w:lang w:eastAsia="ru-RU"/>
              </w:rPr>
              <w:t>Мероприятия по обеспечению пожарной безопасности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2.4.1.</w:t>
            </w:r>
          </w:p>
        </w:tc>
        <w:tc>
          <w:tcPr>
            <w:tcW w:w="3360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  <w:t>Система обеспечения пожарной безопасности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  <w:t xml:space="preserve">При проектировании учитывать требования </w:t>
            </w:r>
            <w:r w:rsidRPr="009F0FA8"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  <w:t>Федерального закона от 22.07.2008 №123-ФЗ «Технический регламент о требованиях пожарной безопасности» и нормативных документов по пожарной безопасности</w:t>
            </w:r>
          </w:p>
        </w:tc>
      </w:tr>
      <w:tr w:rsidR="00FA2098" w:rsidRPr="009F0FA8" w:rsidTr="0036081F"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778" w:type="dxa"/>
            <w:gridSpan w:val="4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2.5. </w:t>
            </w:r>
            <w:r w:rsidRPr="009F0FA8">
              <w:rPr>
                <w:rFonts w:ascii="Times New Roman" w:eastAsia="Times New Roman CYR" w:hAnsi="Times New Roman" w:cs="Times New Roman"/>
                <w:b/>
                <w:bCs/>
                <w:sz w:val="26"/>
                <w:szCs w:val="26"/>
                <w:lang w:eastAsia="ru-RU"/>
              </w:rPr>
              <w:t>Особые условия</w:t>
            </w:r>
          </w:p>
        </w:tc>
      </w:tr>
      <w:tr w:rsidR="00FA2098" w:rsidRPr="009F0FA8" w:rsidTr="0036081F">
        <w:trPr>
          <w:trHeight w:val="1642"/>
        </w:trPr>
        <w:tc>
          <w:tcPr>
            <w:tcW w:w="828" w:type="dxa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2.5.1.</w:t>
            </w:r>
          </w:p>
        </w:tc>
        <w:tc>
          <w:tcPr>
            <w:tcW w:w="3360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 CYR" w:hAnsi="Times New Roman" w:cs="Times New Roman"/>
                <w:bCs/>
                <w:sz w:val="26"/>
                <w:szCs w:val="26"/>
                <w:lang w:eastAsia="ru-RU"/>
              </w:rPr>
              <w:t>Особые условия</w:t>
            </w:r>
          </w:p>
        </w:tc>
        <w:tc>
          <w:tcPr>
            <w:tcW w:w="5418" w:type="dxa"/>
            <w:gridSpan w:val="2"/>
            <w:shd w:val="clear" w:color="auto" w:fill="auto"/>
          </w:tcPr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К заданию на проектирование выдается исходная документация (технические условия, план земельного участка, перечень помещений).</w:t>
            </w:r>
          </w:p>
          <w:p w:rsidR="00FA2098" w:rsidRPr="009F0FA8" w:rsidRDefault="00FA2098" w:rsidP="00C029C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Если в проектной и сметной документации имеются указания на товарные знаки, они </w:t>
            </w: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должны сопровождаться словами «или эквивалент».</w:t>
            </w:r>
          </w:p>
          <w:p w:rsidR="00FA2098" w:rsidRPr="009F0FA8" w:rsidRDefault="00FA2098" w:rsidP="00C029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6"/>
                <w:szCs w:val="26"/>
                <w:lang w:eastAsia="ru-RU"/>
              </w:rPr>
            </w:pPr>
            <w:r w:rsidRPr="009F0F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Гарантийный срок качества на полный объем выполненных ПИР должен быть не менее 24 месяцев.</w:t>
            </w:r>
          </w:p>
        </w:tc>
      </w:tr>
    </w:tbl>
    <w:p w:rsidR="00FA2098" w:rsidRPr="009F0FA8" w:rsidRDefault="00FA2098" w:rsidP="00FA20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2098" w:rsidRPr="009F0FA8" w:rsidRDefault="00FA2098" w:rsidP="00FA2098">
      <w:pPr>
        <w:tabs>
          <w:tab w:val="center" w:pos="5373"/>
        </w:tabs>
        <w:spacing w:after="0" w:line="240" w:lineRule="auto"/>
        <w:ind w:right="42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2098" w:rsidRPr="00DD5134" w:rsidRDefault="00FA2098">
      <w:pPr>
        <w:pStyle w:val="ConsPlusNormal"/>
        <w:jc w:val="right"/>
        <w:rPr>
          <w:rFonts w:asciiTheme="minorHAnsi" w:hAnsiTheme="minorHAnsi"/>
          <w:szCs w:val="22"/>
        </w:rPr>
      </w:pPr>
    </w:p>
    <w:sectPr w:rsidR="00FA2098" w:rsidRPr="00DD5134" w:rsidSect="003111E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672" w:rsidRDefault="00601672" w:rsidP="009F0FA8">
      <w:pPr>
        <w:spacing w:after="0" w:line="240" w:lineRule="auto"/>
      </w:pPr>
      <w:r>
        <w:separator/>
      </w:r>
    </w:p>
  </w:endnote>
  <w:endnote w:type="continuationSeparator" w:id="1">
    <w:p w:rsidR="00601672" w:rsidRDefault="00601672" w:rsidP="009F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672" w:rsidRDefault="00601672" w:rsidP="009F0FA8">
      <w:pPr>
        <w:spacing w:after="0" w:line="240" w:lineRule="auto"/>
      </w:pPr>
      <w:r>
        <w:separator/>
      </w:r>
    </w:p>
  </w:footnote>
  <w:footnote w:type="continuationSeparator" w:id="1">
    <w:p w:rsidR="00601672" w:rsidRDefault="00601672" w:rsidP="009F0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FA8" w:rsidRDefault="009F0F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B4B33"/>
    <w:multiLevelType w:val="hybridMultilevel"/>
    <w:tmpl w:val="4F1C3908"/>
    <w:lvl w:ilvl="0" w:tplc="11D2FA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52C7"/>
    <w:rsid w:val="00112447"/>
    <w:rsid w:val="00161EE4"/>
    <w:rsid w:val="001E05DD"/>
    <w:rsid w:val="00281F37"/>
    <w:rsid w:val="0036081F"/>
    <w:rsid w:val="00601672"/>
    <w:rsid w:val="007D437A"/>
    <w:rsid w:val="00814167"/>
    <w:rsid w:val="00886B05"/>
    <w:rsid w:val="009F0FA8"/>
    <w:rsid w:val="00AC52C7"/>
    <w:rsid w:val="00B5161B"/>
    <w:rsid w:val="00B75E85"/>
    <w:rsid w:val="00DD5134"/>
    <w:rsid w:val="00E736FB"/>
    <w:rsid w:val="00FA2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5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52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5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0FA8"/>
  </w:style>
  <w:style w:type="paragraph" w:styleId="a5">
    <w:name w:val="footer"/>
    <w:basedOn w:val="a"/>
    <w:link w:val="a6"/>
    <w:uiPriority w:val="99"/>
    <w:unhideWhenUsed/>
    <w:rsid w:val="009F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0FA8"/>
  </w:style>
  <w:style w:type="paragraph" w:styleId="a7">
    <w:name w:val="Balloon Text"/>
    <w:basedOn w:val="a"/>
    <w:link w:val="a8"/>
    <w:uiPriority w:val="99"/>
    <w:semiHidden/>
    <w:unhideWhenUsed/>
    <w:rsid w:val="0016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5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52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5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F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0FA8"/>
  </w:style>
  <w:style w:type="paragraph" w:styleId="a5">
    <w:name w:val="footer"/>
    <w:basedOn w:val="a"/>
    <w:link w:val="a6"/>
    <w:uiPriority w:val="99"/>
    <w:unhideWhenUsed/>
    <w:rsid w:val="009F0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0FA8"/>
  </w:style>
  <w:style w:type="paragraph" w:styleId="a7">
    <w:name w:val="Balloon Text"/>
    <w:basedOn w:val="a"/>
    <w:link w:val="a8"/>
    <w:uiPriority w:val="99"/>
    <w:semiHidden/>
    <w:unhideWhenUsed/>
    <w:rsid w:val="0016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624EB97E6C9D694D764D45FF1890EC8C55215F5F4A6CA305AA30CDA5E377A466D0A5F72908C849OFa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Урана</dc:creator>
  <cp:lastModifiedBy>Admin</cp:lastModifiedBy>
  <cp:revision>12</cp:revision>
  <cp:lastPrinted>2016-12-16T10:25:00Z</cp:lastPrinted>
  <dcterms:created xsi:type="dcterms:W3CDTF">2016-12-16T06:21:00Z</dcterms:created>
  <dcterms:modified xsi:type="dcterms:W3CDTF">2017-01-10T02:59:00Z</dcterms:modified>
</cp:coreProperties>
</file>